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84</w:t>
      </w:r>
    </w:p>
    <w:p>
      <w:r>
        <w:t>Bundesgericht (BGE), 1996-12-23, DE</w:t>
      </w:r>
    </w:p>
    <w:p>
      <w:r>
        <w:rPr>
          <w:b/>
        </w:rPr>
        <w:t xml:space="preserve">Quelle: </w:t>
      </w:r>
      <w:r>
        <w:t>https://mcp.opencaselaw.ch/entscheid/bge_123 IV 84</w:t>
      </w:r>
    </w:p>
    <w:p>
      <w:r>
        <w:t>FR: ATF 123 IV 84</w:t>
      </w:r>
    </w:p>
    <w:p>
      <w:r>
        <w:t>IT: DTF 123 IV 84</w:t>
      </w:r>
    </w:p>
    <w:p>
      <w:pPr>
        <w:pStyle w:val="Heading2"/>
      </w:pPr>
      <w:r>
        <w:t>Regeste</w:t>
      </w:r>
    </w:p>
    <w:p>
      <w:r>
        <w:t>Regeste Art. 2 Abs. 2 StGB; Art. 27 Abs. 1 SVG, Art. 90 Ziff. 1 SVG und Art. 102 Ziff. 1 SVG; Aufhebung einer Geschwindigkeitsbeschränkung; Grundsatz der lex mitior. Die Aufhebung einer Geschwindigkeitsbeschränkung führt nicht dazu, dass eine vor der Aufhebung erfolgte Missachtung nicht mehr bestraft werden dürfte (E. 3b).</w:t>
      </w:r>
    </w:p>
    <w:p>
      <w:pPr>
        <w:pStyle w:val="Heading2"/>
      </w:pPr>
      <w:r>
        <w:t>Erwägungen</w:t>
      </w:r>
    </w:p>
    <w:p>
      <w:r>
        <w:rPr>
          <w:b/>
        </w:rPr>
        <w:t>E. 2</w:t>
      </w:r>
    </w:p>
    <w:p>
      <w:r>
        <w:t>a) Der Beschwerdeführer macht eine Verletzung von Art. 4 BV geltend, weil die Vorinstanz ihn wegen einer Geschwindigkeitsüberschreitung, begangen am 10. April 1995, bestrafte, obwohl entsprechende Geschwindigkeitsüberschreitungen mit Wirkung ab 12. April nicht mehr verfolgt wurden. Darin liege eine vor der Verfassung nicht haltbare Ungleichbehandlung. Auf die Beschwerde ist auch insoweit nicht einzutreten. Denn die Frage, ob der Beschwerdeführer aus Gründen der Gleichbehandlung ebenfalls nicht hätte verfolgt werden dürfen, ist nicht ein Frage des eidgenössischen Rechtes; sie hätte dem Bundesgericht mit BGE 123 IV 84 S. 86 staatsrechtlicher Beschwerde vorgelegt werden müssen (vgl. BGE 115 Ia 81 betreffend Gleichbehandlung im Unrecht). b) Die Beschwerde wäre im übrigen in diesem Punkte, auch wenn man sie insoweit als staatsrechtliche Beschwerde entgegennehmen würde, unbegründet, da die Entscheidung der Staatsanwaltschaft auf sachlichen Gründen beruht. Wenn die Öffentlichkeit durch die Presse am 12. April 1995 über den Entscheid des Bundesrates orientiert wurde, dann war es sachlich gerechtfertigt, auf dieses Datum abzustellen, wenn man bereits vor der formellen Aufhebung der Geschwindigkeitsbeschränkung und der Entfernung der Signaltafeln von einer Strafverfolgung absehen wollte. Ob es im übrigen angebracht war, vor der Entfernung der Signaltafeln auf eine Verfolgung von Geschwindigkeitsüberschreitungen zu verzichten, und ob nicht im Interesse der Rechtssicherheit damit bis zum Vollzug des Beschwerdeentscheides des Bundesrates hätte zugewartet werden müssen, kann bei dieser Sachlage offenbleiben.</w:t>
      </w:r>
    </w:p>
    <w:p>
      <w:r>
        <w:rPr>
          <w:b/>
        </w:rPr>
        <w:t>E. 3</w:t>
      </w:r>
    </w:p>
    <w:p>
      <w:r>
        <w:t>Der Beschwerdeführer bringt vor, seine Bestrafung verletze den Grundsatz der lex mitior ( Art. 2 Abs. 2 StGB ). a) Nach Art. 102 Ziff. 1 SVG sind die allgemeinen Bestimmungen des Strafgesetzbuches auch auf das Strassenverkehrsgesetz anwendbar, soweit dieses keine abweichenden Vorschriften enthält. Da dies nicht der Fall ist, findet Art. 2 StGB Anwendung (vgl. BGE 116 IV 258 E. 3b). Nach Abs. 2 dieser Bestimmung ist das neue mildere Recht auf Taten anzuwenden, die noch vor Inkrafttreten des neuen Rechtes begangen wurden. Eine zum Zeitpunkt ihrer Begehung strafbare Verhaltensweise kann also strafrechtlich nicht mehr erfasst werden, wenn ihre strafrechtliche Beurteilung erst nach der Abschaffung der Strafbestimmung erfolgt. So konnte beispielsweise ein zum Zeitpunkt der Begehung strafbarer Ehebruch gemäss Art. 214 aStGB nach Aufhebung dieser Bestimmung am 1. Januar 1990 nicht mehr bestraft werden. Entsprechendes gilt für den im alten Recht weiter gefassten Tatbestand der unzüchtigen Veröffentlichungen gemäss Art. 204 aStGB: Verhaltensweisen, die zum Zeitpunkt ihrer Begehung noch von Art. 204 aStGB erfasst waren, konnten mit dem Inkrafttreten des neuen Sexualstrafrechtes nur noch bestraft werden, wenn sie auch nach neuem Recht unter die Strafbestimmung der Pornographie gemäss Art. 197 StGB fielen. Wer also im September 1992 eine nach dem damals noch gültigen alten Recht strafbare unzüchtige Veröffentlichung vornahm, konnte mit dem Inkrafttreten des neuen Rechtes am 1. Oktober 1992 nicht mehr bestraft werden, wenn BGE 123 IV 84 S. 87 die Verhaltensweise nicht unter die neue Pornographiebestimmung fiel. b) Art. 2 Abs. 2 StGB ist auf die vorliegende Konstellation nicht anwendbar. Der Beschwerdeführer wurde bestraft wegen Verletzung von Verkehrsregeln nach Art. 90 Ziff. 1 SVG . Danach macht sich strafbar, wer Verkehrsregeln dieses Gesetzes oder der Vollziehungsvorschriften des Bundesrates verletzt. Der Beschwerdeführer wurde bestraft, weil er eine signalisierte Höchstgeschwindigkeit missachtet hat ( Art. 27 Abs. 1 SVG ). Die Pflicht, Signale zu befolgen, wurde durch den Beschwerdeentscheid des Bundesrates, mit welchem die angeordnete Geschwindigkeitsbeschränkung aufgehoben wurde, nicht in Frage gestellt. Ebenso wurde mit dem Entscheid des Bundesrates die Verfügung des Regierungsrates des Kantons Luzern nicht rückwirkend aufgehoben, nachdem insbesondere das Eidgenössische Finanzdepartement Begehren um aufschiebende Wirkung abgewiesen hatte. Im vorliegenden Zusammenhang kann im übrigen offenbleiben, ob die Verkehrsteilnehmer verpflichtet waren, bis zur Entfernung der Signalisation die ursprünglich angeordnete Geschwindigkeitsbeschränkung zu beachten oder ob die Missachtung der Signalisation nach dem Entscheid des Bundesrates strafrechtlich nicht mehr verfolgt werden konnte, wogegen immerhin spricht, dass sich alle Verkehrsteilnehmer grundsätzlich auf die Gültigkeit von signalisierten Höchstgeschwindigkeiten verlassen dürfen ( BGE 113 IV 123 ). Die Aufhebung einer Verkehrsbeschränkung bedeutet deshalb nicht, dass eine vor der Aufhebung erfolgte Missachtung der Beschränkung nach der Aufhebung in Anwendung der lex mitior nicht mehr bestraft werden dürfte. Grundgedanke des lex-mitior-Prinzips ist, dass die Tat zufolge Änderung der Rechtsanschauung nicht mehr bzw. weniger strafwürdig erscheint ( BGE 89 IV 113 E. 1a), wie dies bei den oben erwähnten Beispielen der Aufhebung der Strafbestimmung betreffend den Ehebruch und der Änderung der Pornographiebestimmung gezeigt wurde. Die Aufhebung einer Geschwindigkeitsbeschränkung ändert nichts daran, dass nach der Rechtsanschauung eine von der gesetzlichen Höchstgeschwindigkeit abweichende signalisierte Höchstgeschwindigkeit beachtet werden muss. c) Auch aus der vom Beschwerdeführer angerufenen Rechtsprechung ergibt sich nichts anderes. So wurde in BGE 116 IV 258 E. 4e ausdrücklich bestätigt, dass nur eine geänderte Rechtsauffassung zur Anwendung von Art. 2 Abs. 2 StGB führen kann. Aus diesem Grunde BGE 123 IV 84 S. 88 wurde angenommen, der Verstoss gegen eine nur vorübergehend geltende Sondervorschrift betreffend die Anwendbarkeit des Warenumsatzsteuerbeschlusses bleibe auch dann strafbar, wenn zum Zeitpunkt der Beurteilung die Sondervorschrift wieder aufgehoben war. Auch aus BGE 97 IV 233 lässt sich nichts anderes herleiten. Wenn das Bundesgericht in jener Entscheidung angenommen hat, eine Einschränkung des Anwendungsbereiches der Ausverkaufsverordnung führe dazu, dass ein vor der Änderung begangener Verstoss gegen die Ausverkaufsverordnung nun nach dem neuen milderen Recht zu beurteilen sei, dann offenbar deshalb, weil es davon ausgegangen ist, diese Änderung beruhe auf einer Änderung der Rechtsanschauung.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